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92" w:rsidRDefault="00597892" w:rsidP="00597892">
      <w:pPr>
        <w:spacing w:line="276" w:lineRule="auto"/>
        <w:rPr>
          <w:b/>
          <w:sz w:val="28"/>
          <w:szCs w:val="28"/>
        </w:rPr>
      </w:pPr>
      <w:r>
        <w:rPr>
          <w:b/>
          <w:sz w:val="28"/>
          <w:szCs w:val="28"/>
        </w:rPr>
        <w:t>R</w:t>
      </w:r>
      <w:r w:rsidR="00EE75B0">
        <w:rPr>
          <w:b/>
          <w:sz w:val="28"/>
          <w:szCs w:val="28"/>
        </w:rPr>
        <w:t>efereerbijeenkomst</w:t>
      </w:r>
      <w:r>
        <w:rPr>
          <w:b/>
          <w:sz w:val="28"/>
          <w:szCs w:val="28"/>
        </w:rPr>
        <w:t xml:space="preserve"> </w:t>
      </w:r>
    </w:p>
    <w:p w:rsidR="00597892" w:rsidRPr="00597892" w:rsidRDefault="00597892" w:rsidP="00597892">
      <w:pPr>
        <w:spacing w:line="276" w:lineRule="auto"/>
        <w:rPr>
          <w:b/>
          <w:sz w:val="28"/>
          <w:szCs w:val="28"/>
        </w:rPr>
      </w:pPr>
      <w:r>
        <w:rPr>
          <w:b/>
          <w:sz w:val="28"/>
          <w:szCs w:val="28"/>
        </w:rPr>
        <w:t>“</w:t>
      </w:r>
      <w:r w:rsidRPr="00597892">
        <w:rPr>
          <w:b/>
          <w:sz w:val="28"/>
          <w:szCs w:val="28"/>
        </w:rPr>
        <w:t>Intimiteit en Seksualiteit in de zorg voor Jeugd; bevordering van een gezonde seksuele ontwikkeling</w:t>
      </w:r>
      <w:r>
        <w:rPr>
          <w:b/>
          <w:sz w:val="28"/>
          <w:szCs w:val="28"/>
        </w:rPr>
        <w:t>”</w:t>
      </w:r>
    </w:p>
    <w:p w:rsidR="008609F1" w:rsidRPr="00597892" w:rsidRDefault="00597892" w:rsidP="00597892">
      <w:pPr>
        <w:spacing w:line="276" w:lineRule="auto"/>
        <w:rPr>
          <w:b/>
        </w:rPr>
      </w:pPr>
      <w:r w:rsidRPr="00597892">
        <w:rPr>
          <w:b/>
        </w:rPr>
        <w:t>Signaleren, bespreken en handelen</w:t>
      </w:r>
    </w:p>
    <w:p w:rsidR="008609F1" w:rsidRDefault="008609F1">
      <w:pPr>
        <w:spacing w:line="276" w:lineRule="auto"/>
        <w:ind w:left="720"/>
      </w:pPr>
    </w:p>
    <w:p w:rsidR="008609F1" w:rsidRDefault="008609F1">
      <w:pPr>
        <w:spacing w:line="276" w:lineRule="auto"/>
      </w:pPr>
    </w:p>
    <w:p w:rsidR="008609F1" w:rsidRDefault="00EE75B0">
      <w:pPr>
        <w:spacing w:line="276" w:lineRule="auto"/>
      </w:pPr>
      <w:r>
        <w:t xml:space="preserve">Hulpverleners in de zorg kunnen met de juiste aandacht voor seksualiteit bijdragen aan een gezonde en veilige ontwikkeling van jongeren en preventie van seksuele risico’s en ongezond gedrag. Met name voor kwetsbare jeugdigen in kwetsbare gezinssituaties geldt dat zij voor hun kennis, waarden en normen op het gebied van seksualiteit, intimiteit en relaties voor een belangrijk deel afhankelijk zijn van belangrijke volwassenen (waaronder professionals en hulpverleners) om hen heen. Aandacht besteden aan het onderwerp seksualiteit draagt bij aan het voorkomen van seksuele incidenten. De </w:t>
      </w:r>
      <w:hyperlink r:id="rId6">
        <w:r>
          <w:t>bevindingen van de commissie Samson</w:t>
        </w:r>
      </w:hyperlink>
      <w:r>
        <w:t xml:space="preserve"> onderstrepen het belang hiervan. Eén van de aanbevelingen van de commissie Samson was dan ook dat er in de jeugdzorginstelling en andere belangrijke opgroei plekken voor jeugdigen (te denken valt aan school) structureel aandacht moet zijn voor gezonde seksualiteit, (seksueel) grensoverschrijdend gedrag en seksueel misbruik. De refereeravond van 24 mei draagt bij aan de </w:t>
      </w:r>
      <w:proofErr w:type="spellStart"/>
      <w:r>
        <w:t>competentievegroting</w:t>
      </w:r>
      <w:proofErr w:type="spellEnd"/>
      <w:r>
        <w:t xml:space="preserve"> van hulpverleners in de zorg op het vlak van de seksuele ontwikkeling. </w:t>
      </w:r>
    </w:p>
    <w:p w:rsidR="008609F1" w:rsidRDefault="00EE75B0">
      <w:pPr>
        <w:spacing w:line="276" w:lineRule="auto"/>
      </w:pPr>
      <w:r>
        <w:tab/>
      </w:r>
    </w:p>
    <w:p w:rsidR="008609F1" w:rsidRDefault="00EE75B0" w:rsidP="00597892">
      <w:pPr>
        <w:spacing w:line="276" w:lineRule="auto"/>
      </w:pPr>
      <w:r>
        <w:t>Doelen</w:t>
      </w:r>
    </w:p>
    <w:p w:rsidR="008609F1" w:rsidRDefault="00EE75B0">
      <w:pPr>
        <w:numPr>
          <w:ilvl w:val="1"/>
          <w:numId w:val="1"/>
        </w:numPr>
        <w:spacing w:line="276" w:lineRule="auto"/>
      </w:pPr>
      <w:r>
        <w:t>Kennis over de normale seksuele ontwikkeling</w:t>
      </w:r>
    </w:p>
    <w:p w:rsidR="008609F1" w:rsidRDefault="00EE75B0">
      <w:pPr>
        <w:numPr>
          <w:ilvl w:val="1"/>
          <w:numId w:val="1"/>
        </w:numPr>
        <w:spacing w:line="276" w:lineRule="auto"/>
      </w:pPr>
      <w:r>
        <w:t xml:space="preserve">Handvatten in welke werkvormen, methodieken en materialen in te zetten zijn voor een bevordering voor een gezonde seksuele ontwikkeling. Onder andere het Vlaggensysteem zal hierbij aan de orde komen. </w:t>
      </w:r>
    </w:p>
    <w:p w:rsidR="008609F1" w:rsidRDefault="00EE75B0">
      <w:pPr>
        <w:numPr>
          <w:ilvl w:val="1"/>
          <w:numId w:val="1"/>
        </w:numPr>
        <w:spacing w:line="276" w:lineRule="auto"/>
      </w:pPr>
      <w:r>
        <w:t>Signalering van zorgen in de seksuele ontwikkeling (herkenning, signalering, handelen).</w:t>
      </w:r>
    </w:p>
    <w:p w:rsidR="008609F1" w:rsidRDefault="00EE75B0">
      <w:pPr>
        <w:numPr>
          <w:ilvl w:val="1"/>
          <w:numId w:val="1"/>
        </w:numPr>
        <w:spacing w:line="276" w:lineRule="auto"/>
      </w:pPr>
      <w:r>
        <w:t>Diagnostiek bij zorgen in de seksuele ontwikkeling.</w:t>
      </w:r>
    </w:p>
    <w:p w:rsidR="008609F1" w:rsidRDefault="00EE75B0">
      <w:pPr>
        <w:numPr>
          <w:ilvl w:val="1"/>
          <w:numId w:val="1"/>
        </w:numPr>
        <w:spacing w:line="276" w:lineRule="auto"/>
      </w:pPr>
      <w:r>
        <w:t xml:space="preserve">Begeleiding/behandeling bij een problematisch verlopende seksuele ontwikkeling. </w:t>
      </w:r>
    </w:p>
    <w:p w:rsidR="008609F1" w:rsidRDefault="008609F1">
      <w:pPr>
        <w:spacing w:line="276" w:lineRule="auto"/>
      </w:pPr>
    </w:p>
    <w:p w:rsidR="008609F1" w:rsidRDefault="00EE75B0" w:rsidP="00597892">
      <w:pPr>
        <w:spacing w:line="276" w:lineRule="auto"/>
      </w:pPr>
      <w:r>
        <w:t>Programma</w:t>
      </w:r>
      <w:r w:rsidR="00597892">
        <w:t xml:space="preserve">: </w:t>
      </w:r>
      <w:r>
        <w:t xml:space="preserve"> </w:t>
      </w:r>
    </w:p>
    <w:p w:rsidR="008609F1" w:rsidRDefault="008609F1">
      <w:pPr>
        <w:spacing w:line="276" w:lineRule="auto"/>
      </w:pPr>
    </w:p>
    <w:p w:rsidR="008609F1" w:rsidRDefault="00EE75B0">
      <w:pPr>
        <w:spacing w:line="276" w:lineRule="auto"/>
      </w:pPr>
      <w:r>
        <w:t>17:00 uur</w:t>
      </w:r>
      <w:r>
        <w:tab/>
        <w:t>Inschrijven, soep en broodjes.</w:t>
      </w:r>
    </w:p>
    <w:p w:rsidR="008609F1" w:rsidRDefault="00EE75B0">
      <w:pPr>
        <w:spacing w:line="276" w:lineRule="auto"/>
      </w:pPr>
      <w:r>
        <w:t xml:space="preserve">18:00 uur </w:t>
      </w:r>
      <w:r>
        <w:tab/>
        <w:t>Opening.</w:t>
      </w:r>
    </w:p>
    <w:p w:rsidR="00597892" w:rsidRDefault="00EE75B0">
      <w:pPr>
        <w:spacing w:line="276" w:lineRule="auto"/>
      </w:pPr>
      <w:r>
        <w:t>18:10 uur</w:t>
      </w:r>
      <w:r>
        <w:tab/>
      </w:r>
      <w:r w:rsidR="00597892" w:rsidRPr="00597892">
        <w:t xml:space="preserve">Lenneke Kamermans/Hilke Poetsma </w:t>
      </w:r>
      <w:r w:rsidR="00597892">
        <w:t xml:space="preserve">: </w:t>
      </w:r>
    </w:p>
    <w:p w:rsidR="008609F1" w:rsidRDefault="00EE75B0" w:rsidP="009115A3">
      <w:pPr>
        <w:pStyle w:val="Lijstalinea"/>
        <w:numPr>
          <w:ilvl w:val="0"/>
          <w:numId w:val="4"/>
        </w:numPr>
        <w:spacing w:line="276" w:lineRule="auto"/>
      </w:pPr>
      <w:r>
        <w:t>Algemene seksuele ontwikkeling en opvoeding.</w:t>
      </w:r>
    </w:p>
    <w:p w:rsidR="008609F1" w:rsidRDefault="00EE75B0" w:rsidP="00597892">
      <w:pPr>
        <w:pStyle w:val="Lijstalinea"/>
        <w:numPr>
          <w:ilvl w:val="0"/>
          <w:numId w:val="4"/>
        </w:numPr>
        <w:spacing w:line="276" w:lineRule="auto"/>
      </w:pPr>
      <w:r>
        <w:t>Signalering van afwijkende seksuele ontwikkeling.</w:t>
      </w:r>
    </w:p>
    <w:p w:rsidR="008609F1" w:rsidRDefault="00EE75B0" w:rsidP="00597892">
      <w:pPr>
        <w:pStyle w:val="Lijstalinea"/>
        <w:numPr>
          <w:ilvl w:val="0"/>
          <w:numId w:val="4"/>
        </w:numPr>
        <w:spacing w:line="276" w:lineRule="auto"/>
      </w:pPr>
      <w:r>
        <w:t>Duiding van seksueel gedrag.</w:t>
      </w:r>
    </w:p>
    <w:p w:rsidR="008609F1" w:rsidRDefault="00EE75B0" w:rsidP="00597892">
      <w:pPr>
        <w:pStyle w:val="Lijstalinea"/>
        <w:numPr>
          <w:ilvl w:val="0"/>
          <w:numId w:val="4"/>
        </w:numPr>
        <w:spacing w:line="276" w:lineRule="auto"/>
      </w:pPr>
      <w:r>
        <w:t>Pedagogische interventies: werkvormen, methodieken en materialen</w:t>
      </w:r>
    </w:p>
    <w:p w:rsidR="008609F1" w:rsidRDefault="00EE75B0">
      <w:pPr>
        <w:spacing w:line="276" w:lineRule="auto"/>
      </w:pPr>
      <w:r>
        <w:t xml:space="preserve">19:15 uur </w:t>
      </w:r>
      <w:r>
        <w:tab/>
        <w:t>Pauze</w:t>
      </w:r>
    </w:p>
    <w:p w:rsidR="00597892" w:rsidRDefault="00EE75B0">
      <w:pPr>
        <w:spacing w:line="276" w:lineRule="auto"/>
      </w:pPr>
      <w:r>
        <w:t xml:space="preserve">19:30 uur </w:t>
      </w:r>
      <w:r>
        <w:tab/>
      </w:r>
      <w:r w:rsidR="00597892" w:rsidRPr="00597892">
        <w:t xml:space="preserve">Aafke </w:t>
      </w:r>
      <w:proofErr w:type="spellStart"/>
      <w:r w:rsidR="00597892" w:rsidRPr="00597892">
        <w:t>Scharloo</w:t>
      </w:r>
      <w:proofErr w:type="spellEnd"/>
    </w:p>
    <w:p w:rsidR="008609F1" w:rsidRPr="00597892" w:rsidRDefault="00EE75B0" w:rsidP="00597892">
      <w:pPr>
        <w:pStyle w:val="Lijstalinea"/>
        <w:numPr>
          <w:ilvl w:val="0"/>
          <w:numId w:val="4"/>
        </w:numPr>
        <w:spacing w:line="276" w:lineRule="auto"/>
        <w:rPr>
          <w:highlight w:val="white"/>
        </w:rPr>
      </w:pPr>
      <w:r>
        <w:t xml:space="preserve">Herkenning, signalering bij </w:t>
      </w:r>
      <w:r w:rsidRPr="00597892">
        <w:rPr>
          <w:highlight w:val="white"/>
        </w:rPr>
        <w:t xml:space="preserve">zorgen of kwetsbaarheden in de seksuele ontwikkeling. </w:t>
      </w:r>
    </w:p>
    <w:p w:rsidR="009115A3" w:rsidRPr="009115A3" w:rsidRDefault="00EE75B0" w:rsidP="009115A3">
      <w:pPr>
        <w:pStyle w:val="Lijstalinea"/>
        <w:numPr>
          <w:ilvl w:val="0"/>
          <w:numId w:val="4"/>
        </w:numPr>
        <w:spacing w:line="276" w:lineRule="auto"/>
      </w:pPr>
      <w:r w:rsidRPr="009115A3">
        <w:rPr>
          <w:highlight w:val="white"/>
        </w:rPr>
        <w:t>Diagnostiek bij vermoeden seksueel misbruik of zorgen in de seksuele ontwikkeling.</w:t>
      </w:r>
    </w:p>
    <w:p w:rsidR="008609F1" w:rsidRDefault="00EE75B0" w:rsidP="009115A3">
      <w:pPr>
        <w:pStyle w:val="Lijstalinea"/>
        <w:numPr>
          <w:ilvl w:val="0"/>
          <w:numId w:val="4"/>
        </w:numPr>
        <w:spacing w:line="276" w:lineRule="auto"/>
      </w:pPr>
      <w:bookmarkStart w:id="0" w:name="_GoBack"/>
      <w:bookmarkEnd w:id="0"/>
      <w:r w:rsidRPr="009115A3">
        <w:rPr>
          <w:highlight w:val="white"/>
        </w:rPr>
        <w:lastRenderedPageBreak/>
        <w:t xml:space="preserve">Behandeling/begeleiding bij een problematische verlopende seksuele ontwikkeling. </w:t>
      </w:r>
    </w:p>
    <w:p w:rsidR="008609F1" w:rsidRDefault="00EE75B0">
      <w:pPr>
        <w:spacing w:line="276" w:lineRule="auto"/>
      </w:pPr>
      <w:r>
        <w:t>20:45 uur</w:t>
      </w:r>
      <w:r>
        <w:tab/>
        <w:t>Vragen en discussie.</w:t>
      </w:r>
    </w:p>
    <w:p w:rsidR="008609F1" w:rsidRDefault="00EE75B0">
      <w:pPr>
        <w:spacing w:line="276" w:lineRule="auto"/>
      </w:pPr>
      <w:r>
        <w:t>21:00 uur</w:t>
      </w:r>
      <w:r>
        <w:tab/>
        <w:t>Afronding avond.</w:t>
      </w:r>
    </w:p>
    <w:p w:rsidR="008609F1" w:rsidRDefault="008609F1">
      <w:pPr>
        <w:spacing w:line="276" w:lineRule="auto"/>
      </w:pPr>
    </w:p>
    <w:p w:rsidR="008609F1" w:rsidRDefault="008609F1">
      <w:pPr>
        <w:pBdr>
          <w:bottom w:val="single" w:sz="12" w:space="1" w:color="000000"/>
        </w:pBdr>
        <w:spacing w:line="276" w:lineRule="auto"/>
        <w:ind w:left="720"/>
      </w:pPr>
    </w:p>
    <w:p w:rsidR="008609F1" w:rsidRDefault="008609F1">
      <w:pPr>
        <w:spacing w:line="276" w:lineRule="auto"/>
        <w:ind w:left="720"/>
      </w:pPr>
    </w:p>
    <w:p w:rsidR="008609F1" w:rsidRDefault="008609F1">
      <w:pPr>
        <w:spacing w:line="276" w:lineRule="auto"/>
        <w:ind w:left="720"/>
      </w:pPr>
    </w:p>
    <w:sectPr w:rsidR="008609F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56D9"/>
    <w:multiLevelType w:val="multilevel"/>
    <w:tmpl w:val="388EE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981EE6"/>
    <w:multiLevelType w:val="multilevel"/>
    <w:tmpl w:val="04D80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527435"/>
    <w:multiLevelType w:val="multilevel"/>
    <w:tmpl w:val="ED98A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52E3C2E"/>
    <w:multiLevelType w:val="hybridMultilevel"/>
    <w:tmpl w:val="19145B6C"/>
    <w:lvl w:ilvl="0" w:tplc="995E18CE">
      <w:numFmt w:val="bullet"/>
      <w:lvlText w:val="-"/>
      <w:lvlJc w:val="left"/>
      <w:pPr>
        <w:ind w:left="1800" w:hanging="360"/>
      </w:pPr>
      <w:rPr>
        <w:rFonts w:ascii="Calibri" w:eastAsia="Calibr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8609F1"/>
    <w:rsid w:val="00597892"/>
    <w:rsid w:val="008609F1"/>
    <w:rsid w:val="009115A3"/>
    <w:rsid w:val="00EE7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597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597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ksoverheid.nl/onderwerpen/jeugdhulp/aanpak-seksueel-misbruik-in-jeugdhul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Sentener, Erik</dc:creator>
  <cp:lastModifiedBy>Erik Sentener</cp:lastModifiedBy>
  <cp:revision>2</cp:revision>
  <dcterms:created xsi:type="dcterms:W3CDTF">2018-03-26T11:50:00Z</dcterms:created>
  <dcterms:modified xsi:type="dcterms:W3CDTF">2018-03-26T11:50:00Z</dcterms:modified>
</cp:coreProperties>
</file>